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97" w:rsidRDefault="00150165" w:rsidP="00150165">
      <w:pPr>
        <w:pStyle w:val="Title"/>
        <w:spacing w:before="72"/>
        <w:ind w:left="732"/>
        <w:jc w:val="center"/>
        <w:rPr>
          <w:u w:val="none"/>
        </w:rPr>
      </w:pPr>
      <w:r w:rsidRPr="00150165">
        <w:t>INDO GERMAN TOOL ROOM , INDORE</w:t>
      </w:r>
    </w:p>
    <w:p w:rsidR="002B6797" w:rsidRDefault="002B6797">
      <w:pPr>
        <w:pStyle w:val="BodyText"/>
        <w:spacing w:before="93"/>
        <w:rPr>
          <w:rFonts w:ascii="Arial"/>
          <w:b/>
          <w:sz w:val="28"/>
        </w:rPr>
      </w:pPr>
    </w:p>
    <w:p w:rsidR="002B6797" w:rsidRDefault="003A14BA">
      <w:pPr>
        <w:pStyle w:val="Title"/>
        <w:spacing w:line="360" w:lineRule="auto"/>
        <w:ind w:right="329"/>
        <w:jc w:val="center"/>
        <w:rPr>
          <w:u w:val="none"/>
        </w:rPr>
      </w:pPr>
      <w:r>
        <w:rPr>
          <w:color w:val="FF0000"/>
          <w:u w:color="FF0000"/>
        </w:rPr>
        <w:t>THE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PROCEDURE</w:t>
      </w:r>
      <w:r>
        <w:rPr>
          <w:color w:val="FF0000"/>
          <w:spacing w:val="-9"/>
          <w:u w:color="FF0000"/>
        </w:rPr>
        <w:t xml:space="preserve"> </w:t>
      </w:r>
      <w:r>
        <w:rPr>
          <w:color w:val="FF0000"/>
          <w:u w:color="FF0000"/>
        </w:rPr>
        <w:t>FOLLOWED</w:t>
      </w:r>
      <w:r>
        <w:rPr>
          <w:color w:val="FF0000"/>
          <w:spacing w:val="-13"/>
          <w:u w:color="FF0000"/>
        </w:rPr>
        <w:t xml:space="preserve"> </w:t>
      </w:r>
      <w:r>
        <w:rPr>
          <w:color w:val="FF0000"/>
          <w:u w:color="FF0000"/>
        </w:rPr>
        <w:t>FOR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THE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DECISION</w:t>
      </w:r>
      <w:r>
        <w:rPr>
          <w:color w:val="FF0000"/>
          <w:spacing w:val="-14"/>
          <w:u w:color="FF0000"/>
        </w:rPr>
        <w:t xml:space="preserve"> </w:t>
      </w:r>
      <w:r>
        <w:rPr>
          <w:color w:val="FF0000"/>
          <w:u w:color="FF0000"/>
        </w:rPr>
        <w:t>MAKING</w:t>
      </w:r>
      <w:r>
        <w:rPr>
          <w:color w:val="FF0000"/>
          <w:spacing w:val="-9"/>
          <w:u w:color="FF0000"/>
        </w:rPr>
        <w:t xml:space="preserve"> </w:t>
      </w:r>
      <w:r>
        <w:rPr>
          <w:color w:val="FF0000"/>
          <w:u w:color="FF0000"/>
        </w:rPr>
        <w:t>PROCESS</w:t>
      </w:r>
      <w:r>
        <w:rPr>
          <w:color w:val="FF0000"/>
          <w:u w:val="none"/>
        </w:rPr>
        <w:t xml:space="preserve"> </w:t>
      </w:r>
      <w:r>
        <w:rPr>
          <w:color w:val="FF0000"/>
          <w:u w:color="FF0000"/>
        </w:rPr>
        <w:t>INCLUDING CHANNEL OF SUPERVISION AND ACCOUNTABILITY</w:t>
      </w:r>
    </w:p>
    <w:p w:rsidR="002B6797" w:rsidRDefault="003A14BA">
      <w:pPr>
        <w:pStyle w:val="Heading1"/>
        <w:ind w:left="1" w:firstLine="0"/>
        <w:jc w:val="center"/>
        <w:rPr>
          <w:u w:val="none"/>
        </w:rPr>
      </w:pPr>
      <w:r>
        <w:rPr>
          <w:u w:val="none"/>
        </w:rPr>
        <w:t>(Under</w:t>
      </w:r>
      <w:r>
        <w:rPr>
          <w:spacing w:val="-9"/>
          <w:u w:val="none"/>
        </w:rPr>
        <w:t xml:space="preserve"> </w:t>
      </w:r>
      <w:r>
        <w:rPr>
          <w:u w:val="none"/>
        </w:rPr>
        <w:t>Section</w:t>
      </w:r>
      <w:r>
        <w:rPr>
          <w:spacing w:val="-10"/>
          <w:u w:val="none"/>
        </w:rPr>
        <w:t xml:space="preserve"> </w:t>
      </w:r>
      <w:r>
        <w:rPr>
          <w:u w:val="none"/>
        </w:rPr>
        <w:t>4(1)(b)(iii)</w:t>
      </w:r>
      <w:r>
        <w:rPr>
          <w:spacing w:val="-10"/>
          <w:u w:val="none"/>
        </w:rPr>
        <w:t xml:space="preserve"> </w:t>
      </w:r>
      <w:r>
        <w:rPr>
          <w:u w:val="none"/>
        </w:rPr>
        <w:t>of</w:t>
      </w:r>
      <w:r>
        <w:rPr>
          <w:spacing w:val="-11"/>
          <w:u w:val="none"/>
        </w:rPr>
        <w:t xml:space="preserve"> </w:t>
      </w:r>
      <w:r>
        <w:rPr>
          <w:u w:val="none"/>
        </w:rPr>
        <w:t>Right</w:t>
      </w:r>
      <w:r>
        <w:rPr>
          <w:spacing w:val="-10"/>
          <w:u w:val="none"/>
        </w:rPr>
        <w:t xml:space="preserve"> </w:t>
      </w:r>
      <w:r>
        <w:rPr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u w:val="none"/>
        </w:rPr>
        <w:t>Information</w:t>
      </w:r>
      <w:r>
        <w:rPr>
          <w:spacing w:val="-8"/>
          <w:u w:val="none"/>
        </w:rPr>
        <w:t xml:space="preserve"> </w:t>
      </w:r>
      <w:r>
        <w:rPr>
          <w:u w:val="none"/>
        </w:rPr>
        <w:t>Act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2005).</w:t>
      </w:r>
    </w:p>
    <w:p w:rsidR="002B6797" w:rsidRDefault="002B6797">
      <w:pPr>
        <w:pStyle w:val="BodyText"/>
        <w:spacing w:before="4"/>
        <w:rPr>
          <w:rFonts w:ascii="Arial"/>
          <w:b/>
        </w:rPr>
      </w:pPr>
    </w:p>
    <w:p w:rsidR="002B6797" w:rsidRDefault="003A14BA">
      <w:pPr>
        <w:pStyle w:val="BodyText"/>
        <w:ind w:left="360" w:right="350"/>
        <w:jc w:val="both"/>
      </w:pPr>
      <w:r>
        <w:t>The</w:t>
      </w:r>
      <w:r>
        <w:rPr>
          <w:spacing w:val="-6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 w:rsidR="00150165">
        <w:t>IGTR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mainly</w:t>
      </w:r>
      <w:r>
        <w:rPr>
          <w:spacing w:val="-4"/>
        </w:rPr>
        <w:t xml:space="preserve"> </w:t>
      </w:r>
      <w:r>
        <w:t>technical.</w:t>
      </w:r>
      <w:r>
        <w:rPr>
          <w:spacing w:val="40"/>
        </w:rPr>
        <w:t xml:space="preserve"> </w:t>
      </w:r>
      <w:r>
        <w:t>Long</w:t>
      </w:r>
      <w:r>
        <w:rPr>
          <w:spacing w:val="-8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Short</w:t>
      </w:r>
      <w:r>
        <w:rPr>
          <w:spacing w:val="-9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Tool Engineering</w:t>
      </w:r>
      <w:r>
        <w:rPr>
          <w:spacing w:val="-1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CAD/CAM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imparted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 w:rsidR="00150165">
        <w:t>fresher’s</w:t>
      </w:r>
      <w:bookmarkStart w:id="0" w:name="_GoBack"/>
      <w:bookmarkEnd w:id="0"/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personnel</w:t>
      </w:r>
      <w:r>
        <w:rPr>
          <w:spacing w:val="-10"/>
        </w:rPr>
        <w:t xml:space="preserve"> </w:t>
      </w:r>
      <w:r>
        <w:t>already working in industries. Design &amp; manufacturing activities are being undertaken in Production Department.</w:t>
      </w:r>
      <w:r>
        <w:rPr>
          <w:spacing w:val="80"/>
        </w:rPr>
        <w:t xml:space="preserve"> </w:t>
      </w:r>
      <w:r>
        <w:t>Besides this,</w:t>
      </w:r>
      <w:r>
        <w:t xml:space="preserve"> supporting activities such as purchasing of materials</w:t>
      </w:r>
      <w:r>
        <w:rPr>
          <w:spacing w:val="-16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tools</w:t>
      </w:r>
      <w:r>
        <w:rPr>
          <w:spacing w:val="-16"/>
        </w:rPr>
        <w:t xml:space="preserve"> </w:t>
      </w:r>
      <w:r>
        <w:t>etc.,</w:t>
      </w:r>
      <w:r>
        <w:rPr>
          <w:spacing w:val="-15"/>
        </w:rPr>
        <w:t xml:space="preserve"> </w:t>
      </w:r>
      <w:r>
        <w:t>Store</w:t>
      </w:r>
      <w:r>
        <w:rPr>
          <w:spacing w:val="-17"/>
        </w:rPr>
        <w:t xml:space="preserve"> </w:t>
      </w:r>
      <w:r>
        <w:t>keeping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Administrative</w:t>
      </w:r>
      <w:r>
        <w:rPr>
          <w:spacing w:val="-12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Accounting</w:t>
      </w:r>
      <w:r>
        <w:rPr>
          <w:spacing w:val="-16"/>
        </w:rPr>
        <w:t xml:space="preserve"> </w:t>
      </w:r>
      <w:r>
        <w:t>activities</w:t>
      </w:r>
      <w:r>
        <w:rPr>
          <w:spacing w:val="-15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 xml:space="preserve">also </w:t>
      </w:r>
      <w:r>
        <w:rPr>
          <w:spacing w:val="-2"/>
        </w:rPr>
        <w:t>there.</w:t>
      </w:r>
    </w:p>
    <w:p w:rsidR="002B6797" w:rsidRDefault="002B6797">
      <w:pPr>
        <w:pStyle w:val="BodyText"/>
        <w:spacing w:before="3"/>
      </w:pPr>
    </w:p>
    <w:p w:rsidR="002B6797" w:rsidRDefault="003A14BA">
      <w:pPr>
        <w:pStyle w:val="BodyText"/>
        <w:spacing w:before="1"/>
        <w:ind w:left="360" w:right="361"/>
        <w:jc w:val="both"/>
      </w:pPr>
      <w:r>
        <w:t>For efficient management of the activities there exists a system to</w:t>
      </w:r>
      <w:r>
        <w:rPr>
          <w:spacing w:val="40"/>
        </w:rPr>
        <w:t xml:space="preserve"> </w:t>
      </w:r>
      <w:r>
        <w:t>ensure speedy &amp;</w:t>
      </w:r>
      <w:r>
        <w:t xml:space="preserve"> correct decision making processes.</w:t>
      </w:r>
      <w:r>
        <w:rPr>
          <w:spacing w:val="40"/>
        </w:rPr>
        <w:t xml:space="preserve"> </w:t>
      </w:r>
      <w:r>
        <w:t>Procedures adopted are as follows:</w:t>
      </w:r>
    </w:p>
    <w:p w:rsidR="002B6797" w:rsidRDefault="003A14BA">
      <w:pPr>
        <w:pStyle w:val="Heading1"/>
        <w:numPr>
          <w:ilvl w:val="0"/>
          <w:numId w:val="1"/>
        </w:numPr>
        <w:tabs>
          <w:tab w:val="left" w:pos="685"/>
        </w:tabs>
        <w:spacing w:before="276"/>
        <w:ind w:left="685" w:hanging="327"/>
        <w:jc w:val="left"/>
        <w:rPr>
          <w:u w:val="none"/>
        </w:rPr>
      </w:pPr>
      <w:r>
        <w:rPr>
          <w:u w:val="thick"/>
        </w:rPr>
        <w:t>General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Process:</w:t>
      </w:r>
    </w:p>
    <w:p w:rsidR="002B6797" w:rsidRDefault="002B6797">
      <w:pPr>
        <w:pStyle w:val="BodyText"/>
        <w:spacing w:before="90"/>
        <w:rPr>
          <w:rFonts w:ascii="Arial"/>
          <w:b/>
        </w:rPr>
      </w:pPr>
    </w:p>
    <w:p w:rsidR="002B6797" w:rsidRDefault="003A14BA">
      <w:pPr>
        <w:pStyle w:val="ListParagraph"/>
        <w:numPr>
          <w:ilvl w:val="1"/>
          <w:numId w:val="1"/>
        </w:numPr>
        <w:tabs>
          <w:tab w:val="left" w:pos="1111"/>
        </w:tabs>
        <w:ind w:right="359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Section</w:t>
      </w:r>
      <w:r>
        <w:rPr>
          <w:spacing w:val="40"/>
          <w:sz w:val="24"/>
        </w:rPr>
        <w:t xml:space="preserve"> </w:t>
      </w:r>
      <w:r>
        <w:rPr>
          <w:sz w:val="24"/>
        </w:rPr>
        <w:t>I/c</w:t>
      </w:r>
      <w:r>
        <w:rPr>
          <w:spacing w:val="40"/>
          <w:sz w:val="24"/>
        </w:rPr>
        <w:t xml:space="preserve"> </w:t>
      </w:r>
      <w:r>
        <w:rPr>
          <w:sz w:val="24"/>
        </w:rPr>
        <w:t>will</w:t>
      </w:r>
      <w:r>
        <w:rPr>
          <w:spacing w:val="39"/>
          <w:sz w:val="24"/>
        </w:rPr>
        <w:t xml:space="preserve"> </w:t>
      </w:r>
      <w:r>
        <w:rPr>
          <w:sz w:val="24"/>
        </w:rPr>
        <w:t>himself</w:t>
      </w:r>
      <w:r>
        <w:rPr>
          <w:spacing w:val="40"/>
          <w:sz w:val="24"/>
        </w:rPr>
        <w:t xml:space="preserve"> </w:t>
      </w:r>
      <w:r>
        <w:rPr>
          <w:sz w:val="24"/>
        </w:rPr>
        <w:t>initiate</w:t>
      </w:r>
      <w:r>
        <w:rPr>
          <w:spacing w:val="39"/>
          <w:sz w:val="24"/>
        </w:rPr>
        <w:t xml:space="preserve"> </w:t>
      </w:r>
      <w:r>
        <w:rPr>
          <w:sz w:val="24"/>
        </w:rPr>
        <w:t>action</w:t>
      </w:r>
      <w:r>
        <w:rPr>
          <w:spacing w:val="39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receipts</w:t>
      </w:r>
      <w:r>
        <w:rPr>
          <w:spacing w:val="40"/>
          <w:sz w:val="24"/>
        </w:rPr>
        <w:t xml:space="preserve"> </w:t>
      </w:r>
      <w:r>
        <w:rPr>
          <w:sz w:val="24"/>
        </w:rPr>
        <w:t>keeping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view</w:t>
      </w:r>
      <w:r>
        <w:rPr>
          <w:spacing w:val="40"/>
          <w:sz w:val="24"/>
        </w:rPr>
        <w:t xml:space="preserve"> </w:t>
      </w:r>
      <w:r>
        <w:rPr>
          <w:sz w:val="24"/>
        </w:rPr>
        <w:t>the priority requirements.</w:t>
      </w:r>
    </w:p>
    <w:p w:rsidR="002B6797" w:rsidRDefault="003A14BA">
      <w:pPr>
        <w:pStyle w:val="ListParagraph"/>
        <w:numPr>
          <w:ilvl w:val="1"/>
          <w:numId w:val="1"/>
        </w:numPr>
        <w:tabs>
          <w:tab w:val="left" w:pos="1111"/>
        </w:tabs>
        <w:spacing w:line="276" w:lineRule="exact"/>
        <w:rPr>
          <w:sz w:val="24"/>
        </w:rPr>
      </w:pP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kept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essential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minimum.</w:t>
      </w:r>
    </w:p>
    <w:p w:rsidR="002B6797" w:rsidRDefault="003A14BA">
      <w:pPr>
        <w:pStyle w:val="ListParagraph"/>
        <w:numPr>
          <w:ilvl w:val="1"/>
          <w:numId w:val="1"/>
        </w:numPr>
        <w:tabs>
          <w:tab w:val="left" w:pos="1109"/>
        </w:tabs>
        <w:spacing w:line="276" w:lineRule="exact"/>
        <w:ind w:left="1109" w:hanging="423"/>
        <w:rPr>
          <w:sz w:val="24"/>
        </w:rPr>
      </w:pP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disposal.</w:t>
      </w:r>
    </w:p>
    <w:p w:rsidR="002B6797" w:rsidRDefault="003A14BA">
      <w:pPr>
        <w:pStyle w:val="ListParagraph"/>
        <w:numPr>
          <w:ilvl w:val="1"/>
          <w:numId w:val="1"/>
        </w:numPr>
        <w:tabs>
          <w:tab w:val="left" w:pos="1109"/>
          <w:tab w:val="left" w:pos="1111"/>
        </w:tabs>
        <w:ind w:right="364"/>
        <w:rPr>
          <w:sz w:val="24"/>
        </w:rPr>
      </w:pPr>
      <w:r>
        <w:rPr>
          <w:sz w:val="24"/>
        </w:rPr>
        <w:t>While disposing cases, the Section in charge will aim at optimizing quality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 w:rsidR="00150165">
        <w:rPr>
          <w:sz w:val="24"/>
        </w:rPr>
        <w:t xml:space="preserve"> </w:t>
      </w:r>
      <w:r>
        <w:rPr>
          <w:sz w:val="24"/>
        </w:rPr>
        <w:t>well as quantity of work performed by him &amp; submit the same to the HOD.</w:t>
      </w:r>
    </w:p>
    <w:p w:rsidR="002B6797" w:rsidRDefault="003A14BA">
      <w:pPr>
        <w:pStyle w:val="Heading1"/>
        <w:numPr>
          <w:ilvl w:val="0"/>
          <w:numId w:val="1"/>
        </w:numPr>
        <w:tabs>
          <w:tab w:val="left" w:pos="685"/>
        </w:tabs>
        <w:spacing w:before="272"/>
        <w:ind w:left="685" w:hanging="327"/>
        <w:jc w:val="left"/>
        <w:rPr>
          <w:u w:val="none"/>
        </w:rPr>
      </w:pPr>
      <w:r>
        <w:rPr>
          <w:u w:val="thick"/>
        </w:rPr>
        <w:t>Standard</w:t>
      </w:r>
      <w:r>
        <w:rPr>
          <w:spacing w:val="-6"/>
          <w:u w:val="thick"/>
        </w:rPr>
        <w:t xml:space="preserve"> </w:t>
      </w:r>
      <w:r>
        <w:rPr>
          <w:u w:val="thick"/>
        </w:rPr>
        <w:t>Process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Sheet:</w:t>
      </w:r>
    </w:p>
    <w:p w:rsidR="002B6797" w:rsidRDefault="002B6797">
      <w:pPr>
        <w:pStyle w:val="BodyText"/>
        <w:spacing w:before="1"/>
        <w:rPr>
          <w:rFonts w:ascii="Arial"/>
          <w:b/>
        </w:rPr>
      </w:pPr>
    </w:p>
    <w:p w:rsidR="002B6797" w:rsidRDefault="003A14BA">
      <w:pPr>
        <w:pStyle w:val="BodyText"/>
        <w:ind w:left="360" w:right="355"/>
        <w:jc w:val="both"/>
      </w:pPr>
      <w:r>
        <w:t>For dealing with cases of repetitive nature such as issuance of tender, comparative statement of tenders, order confirmation, job process sheets, sanction of leave, forwarding</w:t>
      </w:r>
      <w:r>
        <w:rPr>
          <w:spacing w:val="-1"/>
        </w:rPr>
        <w:t xml:space="preserve"> </w:t>
      </w:r>
      <w:r>
        <w:t>of applications etc.</w:t>
      </w:r>
      <w:r>
        <w:rPr>
          <w:spacing w:val="-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Process Sheets are</w:t>
      </w:r>
      <w:r>
        <w:rPr>
          <w:spacing w:val="-1"/>
        </w:rPr>
        <w:t xml:space="preserve"> </w:t>
      </w:r>
      <w:r>
        <w:t>advised and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used. In case</w:t>
      </w:r>
      <w:r>
        <w:rPr>
          <w:spacing w:val="-3"/>
        </w:rPr>
        <w:t xml:space="preserve"> </w:t>
      </w:r>
      <w:r>
        <w:t>of Administration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used besides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statutory </w:t>
      </w:r>
      <w:r>
        <w:rPr>
          <w:spacing w:val="-2"/>
        </w:rPr>
        <w:t>Forms.</w:t>
      </w:r>
    </w:p>
    <w:p w:rsidR="002B6797" w:rsidRDefault="003A14BA">
      <w:pPr>
        <w:pStyle w:val="Heading1"/>
        <w:numPr>
          <w:ilvl w:val="0"/>
          <w:numId w:val="1"/>
        </w:numPr>
        <w:tabs>
          <w:tab w:val="left" w:pos="684"/>
        </w:tabs>
        <w:spacing w:before="274"/>
        <w:ind w:left="684" w:hanging="425"/>
        <w:jc w:val="left"/>
        <w:rPr>
          <w:u w:val="none"/>
        </w:rPr>
      </w:pP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disposal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channel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submission:</w:t>
      </w:r>
    </w:p>
    <w:p w:rsidR="002B6797" w:rsidRDefault="002B6797">
      <w:pPr>
        <w:pStyle w:val="BodyText"/>
        <w:rPr>
          <w:rFonts w:ascii="Arial"/>
          <w:b/>
        </w:rPr>
      </w:pPr>
    </w:p>
    <w:p w:rsidR="002B6797" w:rsidRDefault="003A14BA">
      <w:pPr>
        <w:pStyle w:val="BodyText"/>
        <w:ind w:left="360" w:right="343" w:firstLine="717"/>
        <w:jc w:val="both"/>
      </w:pPr>
      <w:r>
        <w:t xml:space="preserve">As the activity of </w:t>
      </w:r>
      <w:r w:rsidR="00150165">
        <w:t>IGTR</w:t>
      </w:r>
      <w:r>
        <w:t xml:space="preserve"> is mainly technical in nature the level of disposal and channel</w:t>
      </w:r>
      <w:r>
        <w:rPr>
          <w:spacing w:val="-2"/>
        </w:rPr>
        <w:t xml:space="preserve"> </w:t>
      </w:r>
      <w:r>
        <w:t>of submission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minimum. The</w:t>
      </w:r>
      <w:r>
        <w:rPr>
          <w:spacing w:val="-2"/>
        </w:rPr>
        <w:t xml:space="preserve"> </w:t>
      </w:r>
      <w:r>
        <w:t>Section-in-charge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initiate</w:t>
      </w:r>
      <w:r>
        <w:rPr>
          <w:spacing w:val="-2"/>
        </w:rPr>
        <w:t xml:space="preserve"> </w:t>
      </w:r>
      <w:r>
        <w:t>and suggest the action to be taken to the Head of the Department who has been delegated with</w:t>
      </w:r>
      <w:r>
        <w:rPr>
          <w:spacing w:val="-7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dispose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cases. Decisions to be taken beyond th</w:t>
      </w:r>
      <w:r>
        <w:t xml:space="preserve">e power of the HODs shall go to the General Manager, Chief Executive of </w:t>
      </w:r>
      <w:r w:rsidR="00150165">
        <w:t>IGTR</w:t>
      </w:r>
      <w:r>
        <w:t xml:space="preserve"> for disposal who has been entrusted with financial and administrative powers to manage the day to day activities</w:t>
      </w:r>
      <w:r w:rsidR="00150165"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Centre.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policy decisions the matter shall be refe</w:t>
      </w:r>
      <w:r>
        <w:t>rred to Chairman/Governing Council.</w:t>
      </w:r>
    </w:p>
    <w:sectPr w:rsidR="002B6797">
      <w:type w:val="continuous"/>
      <w:pgSz w:w="12240" w:h="15840"/>
      <w:pgMar w:top="136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BA" w:rsidRDefault="003A14BA" w:rsidP="00150165">
      <w:r>
        <w:separator/>
      </w:r>
    </w:p>
  </w:endnote>
  <w:endnote w:type="continuationSeparator" w:id="0">
    <w:p w:rsidR="003A14BA" w:rsidRDefault="003A14BA" w:rsidP="0015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BA" w:rsidRDefault="003A14BA" w:rsidP="00150165">
      <w:r>
        <w:separator/>
      </w:r>
    </w:p>
  </w:footnote>
  <w:footnote w:type="continuationSeparator" w:id="0">
    <w:p w:rsidR="003A14BA" w:rsidRDefault="003A14BA" w:rsidP="0015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D20FB"/>
    <w:multiLevelType w:val="hybridMultilevel"/>
    <w:tmpl w:val="10085ADA"/>
    <w:lvl w:ilvl="0" w:tplc="B7DE616A">
      <w:start w:val="1"/>
      <w:numFmt w:val="upperRoman"/>
      <w:lvlText w:val="%1."/>
      <w:lvlJc w:val="left"/>
      <w:pPr>
        <w:ind w:left="686" w:hanging="32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7"/>
        <w:sz w:val="24"/>
        <w:szCs w:val="24"/>
        <w:lang w:val="en-US" w:eastAsia="en-US" w:bidi="ar-SA"/>
      </w:rPr>
    </w:lvl>
    <w:lvl w:ilvl="1" w:tplc="8052532A">
      <w:start w:val="1"/>
      <w:numFmt w:val="lowerRoman"/>
      <w:lvlText w:val="%2)"/>
      <w:lvlJc w:val="left"/>
      <w:pPr>
        <w:ind w:left="111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2" w:tplc="0632F4E4">
      <w:numFmt w:val="bullet"/>
      <w:lvlText w:val="•"/>
      <w:lvlJc w:val="left"/>
      <w:pPr>
        <w:ind w:left="2115" w:hanging="425"/>
      </w:pPr>
      <w:rPr>
        <w:rFonts w:hint="default"/>
        <w:lang w:val="en-US" w:eastAsia="en-US" w:bidi="ar-SA"/>
      </w:rPr>
    </w:lvl>
    <w:lvl w:ilvl="3" w:tplc="79147EEA">
      <w:numFmt w:val="bullet"/>
      <w:lvlText w:val="•"/>
      <w:lvlJc w:val="left"/>
      <w:pPr>
        <w:ind w:left="3111" w:hanging="425"/>
      </w:pPr>
      <w:rPr>
        <w:rFonts w:hint="default"/>
        <w:lang w:val="en-US" w:eastAsia="en-US" w:bidi="ar-SA"/>
      </w:rPr>
    </w:lvl>
    <w:lvl w:ilvl="4" w:tplc="7AB01BF0">
      <w:numFmt w:val="bullet"/>
      <w:lvlText w:val="•"/>
      <w:lvlJc w:val="left"/>
      <w:pPr>
        <w:ind w:left="4106" w:hanging="425"/>
      </w:pPr>
      <w:rPr>
        <w:rFonts w:hint="default"/>
        <w:lang w:val="en-US" w:eastAsia="en-US" w:bidi="ar-SA"/>
      </w:rPr>
    </w:lvl>
    <w:lvl w:ilvl="5" w:tplc="236A182A">
      <w:numFmt w:val="bullet"/>
      <w:lvlText w:val="•"/>
      <w:lvlJc w:val="left"/>
      <w:pPr>
        <w:ind w:left="5102" w:hanging="425"/>
      </w:pPr>
      <w:rPr>
        <w:rFonts w:hint="default"/>
        <w:lang w:val="en-US" w:eastAsia="en-US" w:bidi="ar-SA"/>
      </w:rPr>
    </w:lvl>
    <w:lvl w:ilvl="6" w:tplc="785A7AEA">
      <w:numFmt w:val="bullet"/>
      <w:lvlText w:val="•"/>
      <w:lvlJc w:val="left"/>
      <w:pPr>
        <w:ind w:left="6097" w:hanging="425"/>
      </w:pPr>
      <w:rPr>
        <w:rFonts w:hint="default"/>
        <w:lang w:val="en-US" w:eastAsia="en-US" w:bidi="ar-SA"/>
      </w:rPr>
    </w:lvl>
    <w:lvl w:ilvl="7" w:tplc="F58EFB94">
      <w:numFmt w:val="bullet"/>
      <w:lvlText w:val="•"/>
      <w:lvlJc w:val="left"/>
      <w:pPr>
        <w:ind w:left="7093" w:hanging="425"/>
      </w:pPr>
      <w:rPr>
        <w:rFonts w:hint="default"/>
        <w:lang w:val="en-US" w:eastAsia="en-US" w:bidi="ar-SA"/>
      </w:rPr>
    </w:lvl>
    <w:lvl w:ilvl="8" w:tplc="F0E6295A">
      <w:numFmt w:val="bullet"/>
      <w:lvlText w:val="•"/>
      <w:lvlJc w:val="left"/>
      <w:pPr>
        <w:ind w:left="8088" w:hanging="42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97"/>
    <w:rsid w:val="00150165"/>
    <w:rsid w:val="002B6797"/>
    <w:rsid w:val="003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7E953-F7CD-4B68-94BD-0526315C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3"/>
      <w:ind w:left="685" w:hanging="327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69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11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1501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0165"/>
    <w:rPr>
      <w:rFonts w:ascii="Arial MT" w:eastAsia="Arial MT" w:hAnsi="Arial MT" w:cs="Arial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0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Dipak Kumar Behera</dc:creator>
  <cp:lastModifiedBy>admin</cp:lastModifiedBy>
  <cp:revision>2</cp:revision>
  <dcterms:created xsi:type="dcterms:W3CDTF">2025-03-07T11:05:00Z</dcterms:created>
  <dcterms:modified xsi:type="dcterms:W3CDTF">2025-03-07T11:05:00Z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2016</vt:lpwstr>
  </property>
</Properties>
</file>